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E37A0" w14:textId="4A83B04A" w:rsidR="005627B9" w:rsidRDefault="00507C42" w:rsidP="00507C42">
      <w:pPr>
        <w:pStyle w:val="Heading1"/>
        <w:jc w:val="center"/>
      </w:pPr>
      <w:r>
        <w:t xml:space="preserve">Addendum to </w:t>
      </w:r>
      <w:r w:rsidR="00BA6641">
        <w:t xml:space="preserve">Course </w:t>
      </w:r>
      <w:r>
        <w:t>Syllabus Template</w:t>
      </w:r>
    </w:p>
    <w:p w14:paraId="5C714C8D" w14:textId="7856F585" w:rsidR="008C16BE" w:rsidRDefault="000F2318" w:rsidP="00871DAC">
      <w:pPr>
        <w:pStyle w:val="Heading2"/>
        <w:contextualSpacing/>
        <w:jc w:val="center"/>
        <w:rPr>
          <w:sz w:val="28"/>
          <w:szCs w:val="28"/>
        </w:rPr>
      </w:pPr>
      <w:r w:rsidRPr="49619B92">
        <w:rPr>
          <w:sz w:val="28"/>
          <w:szCs w:val="28"/>
        </w:rPr>
        <w:t>Optional Best Practices clauses (for face-to-face, hybrid and online</w:t>
      </w:r>
      <w:r w:rsidR="008820FE" w:rsidRPr="49619B92">
        <w:rPr>
          <w:sz w:val="28"/>
          <w:szCs w:val="28"/>
        </w:rPr>
        <w:t xml:space="preserve"> modalities)</w:t>
      </w:r>
      <w:r w:rsidRPr="49619B92">
        <w:rPr>
          <w:sz w:val="28"/>
          <w:szCs w:val="28"/>
        </w:rPr>
        <w:t>:</w:t>
      </w:r>
    </w:p>
    <w:p w14:paraId="1C6157E2" w14:textId="77777777" w:rsidR="000D424A" w:rsidRPr="00971847" w:rsidRDefault="000D424A" w:rsidP="000D424A">
      <w:pPr>
        <w:pStyle w:val="Heading1"/>
        <w:rPr>
          <w:rFonts w:asciiTheme="minorHAnsi" w:hAnsiTheme="minorHAnsi" w:cstheme="minorHAnsi"/>
          <w:b/>
          <w:bCs/>
          <w:color w:val="auto"/>
          <w:sz w:val="28"/>
          <w:szCs w:val="28"/>
          <w:u w:val="single"/>
        </w:rPr>
      </w:pPr>
      <w:r w:rsidRPr="00971847">
        <w:rPr>
          <w:rFonts w:asciiTheme="minorHAnsi" w:hAnsiTheme="minorHAnsi" w:cstheme="minorHAnsi"/>
          <w:b/>
          <w:bCs/>
          <w:color w:val="auto"/>
          <w:sz w:val="28"/>
          <w:szCs w:val="28"/>
          <w:u w:val="single"/>
        </w:rPr>
        <w:t>Freedom of Expression</w:t>
      </w:r>
    </w:p>
    <w:p w14:paraId="04F24626" w14:textId="324B841E" w:rsidR="00676D3E" w:rsidRPr="00665B12" w:rsidRDefault="00676D3E" w:rsidP="00676D3E">
      <w:pPr>
        <w:rPr>
          <w:sz w:val="24"/>
          <w:szCs w:val="24"/>
        </w:rPr>
      </w:pPr>
      <w:r w:rsidRPr="00665B12">
        <w:rPr>
          <w:sz w:val="24"/>
          <w:szCs w:val="24"/>
        </w:rPr>
        <w:t xml:space="preserve">At Montgomery County Community College, we value and uphold the First Amendment right to freedom of speech and academic freedom. We believe in fostering a learning environment where open inquiry and the robust discussion of diverse ideas are welcomed. In this spirit, students will not face penalties based on the content or viewpoints of their speech. </w:t>
      </w:r>
      <w:r w:rsidR="66D7B01A" w:rsidRPr="00665B12">
        <w:rPr>
          <w:sz w:val="24"/>
          <w:szCs w:val="24"/>
        </w:rPr>
        <w:t>If student expression in the classroom is relevant to the subject matter and conveyed respectfully, it is encouraged and respected.</w:t>
      </w:r>
    </w:p>
    <w:p w14:paraId="769494E5" w14:textId="23D54DCE" w:rsidR="000D424A" w:rsidRPr="00971847" w:rsidRDefault="000D424A" w:rsidP="00665B12">
      <w:pPr>
        <w:contextualSpacing/>
        <w:rPr>
          <w:rFonts w:cstheme="minorHAnsi"/>
          <w:b/>
          <w:bCs/>
          <w:sz w:val="28"/>
          <w:szCs w:val="28"/>
          <w:u w:val="single"/>
        </w:rPr>
      </w:pPr>
      <w:r w:rsidRPr="00971847">
        <w:rPr>
          <w:rFonts w:cstheme="minorHAnsi"/>
          <w:b/>
          <w:bCs/>
          <w:sz w:val="28"/>
          <w:szCs w:val="28"/>
          <w:u w:val="single"/>
        </w:rPr>
        <w:t>College Equity Statement for Student Success</w:t>
      </w:r>
    </w:p>
    <w:p w14:paraId="3D21147F" w14:textId="1173E599" w:rsidR="000D424A" w:rsidRPr="00665B12" w:rsidRDefault="004A4A41" w:rsidP="49619B92">
      <w:pPr>
        <w:rPr>
          <w:sz w:val="24"/>
          <w:szCs w:val="24"/>
        </w:rPr>
      </w:pPr>
      <w:r w:rsidRPr="00665B12">
        <w:rPr>
          <w:sz w:val="24"/>
          <w:szCs w:val="24"/>
        </w:rPr>
        <w:t xml:space="preserve">The College is dedicated to guaranteeing that every student has the necessary support to succeed by intentionally designing the college experience. For more details, please refer to "Montco </w:t>
      </w:r>
      <w:r w:rsidR="458DB249" w:rsidRPr="00665B12">
        <w:rPr>
          <w:sz w:val="24"/>
          <w:szCs w:val="24"/>
        </w:rPr>
        <w:t>for</w:t>
      </w:r>
      <w:r w:rsidRPr="00665B12">
        <w:rPr>
          <w:sz w:val="24"/>
          <w:szCs w:val="24"/>
        </w:rPr>
        <w:t xml:space="preserve"> All." </w:t>
      </w:r>
      <w:hyperlink r:id="rId5">
        <w:r w:rsidR="00A137C4" w:rsidRPr="00665B12">
          <w:rPr>
            <w:rStyle w:val="Hyperlink"/>
            <w:sz w:val="24"/>
            <w:szCs w:val="24"/>
          </w:rPr>
          <w:t>Strategic Plan</w:t>
        </w:r>
      </w:hyperlink>
      <w:r w:rsidR="00E531C7" w:rsidRPr="00665B12">
        <w:rPr>
          <w:sz w:val="24"/>
          <w:szCs w:val="24"/>
        </w:rPr>
        <w:t xml:space="preserve">. </w:t>
      </w:r>
    </w:p>
    <w:p w14:paraId="5F01FC56" w14:textId="77777777" w:rsidR="00676E33" w:rsidRDefault="00676E33" w:rsidP="00665B12">
      <w:pPr>
        <w:contextualSpacing/>
        <w:rPr>
          <w:rFonts w:ascii="Calibri" w:eastAsia="Calibri" w:hAnsi="Calibri" w:cs="Calibri"/>
          <w:b/>
          <w:bCs/>
          <w:sz w:val="28"/>
          <w:szCs w:val="28"/>
          <w:u w:val="single"/>
        </w:rPr>
      </w:pPr>
    </w:p>
    <w:p w14:paraId="5D09FF2A" w14:textId="7AE2847F" w:rsidR="1FEC2E74" w:rsidRPr="00971847" w:rsidRDefault="1FEC2E74" w:rsidP="00665B12">
      <w:pPr>
        <w:contextualSpacing/>
        <w:rPr>
          <w:rFonts w:ascii="Calibri" w:eastAsia="Calibri" w:hAnsi="Calibri" w:cs="Calibri"/>
          <w:b/>
          <w:bCs/>
          <w:sz w:val="28"/>
          <w:szCs w:val="28"/>
          <w:u w:val="single"/>
        </w:rPr>
      </w:pPr>
      <w:r w:rsidRPr="00971847">
        <w:rPr>
          <w:rFonts w:ascii="Calibri" w:eastAsia="Calibri" w:hAnsi="Calibri" w:cs="Calibri"/>
          <w:b/>
          <w:bCs/>
          <w:sz w:val="28"/>
          <w:szCs w:val="28"/>
          <w:u w:val="single"/>
        </w:rPr>
        <w:t>Veteran’s Resources</w:t>
      </w:r>
    </w:p>
    <w:p w14:paraId="18FE228D" w14:textId="663F8182" w:rsidR="1FEC2E74" w:rsidRPr="00B103CD" w:rsidRDefault="1FEC2E74" w:rsidP="49619B92">
      <w:pPr>
        <w:contextualSpacing/>
        <w:rPr>
          <w:rFonts w:eastAsiaTheme="minorEastAsia"/>
          <w:sz w:val="24"/>
          <w:szCs w:val="24"/>
        </w:rPr>
      </w:pPr>
      <w:r w:rsidRPr="00B103CD">
        <w:rPr>
          <w:rFonts w:eastAsiaTheme="minorEastAsia"/>
          <w:sz w:val="24"/>
          <w:szCs w:val="24"/>
        </w:rPr>
        <w:t>At Montco Community College, we deeply appreciate the sacrifices and contributions of our military service members, veterans, and their families. We are committed to ensuring equitable support for all those who have served or are currently serving, as well as their spouses and family members who are part of our community.</w:t>
      </w:r>
      <w:r w:rsidR="00D017BC">
        <w:rPr>
          <w:rFonts w:eastAsiaTheme="minorEastAsia"/>
          <w:sz w:val="24"/>
          <w:szCs w:val="24"/>
        </w:rPr>
        <w:t xml:space="preserve"> </w:t>
      </w:r>
      <w:r w:rsidRPr="00B103CD">
        <w:rPr>
          <w:rFonts w:eastAsiaTheme="minorEastAsia"/>
          <w:sz w:val="24"/>
          <w:szCs w:val="24"/>
        </w:rPr>
        <w:t>Our goal is to create an inclusive and supportive environment where every member of our veteran and military community feels valued, empowered, and equipped to thrive both academically and personally.</w:t>
      </w:r>
      <w:r w:rsidR="524818FF" w:rsidRPr="00B103CD">
        <w:rPr>
          <w:rFonts w:eastAsiaTheme="minorEastAsia"/>
          <w:sz w:val="24"/>
          <w:szCs w:val="24"/>
        </w:rPr>
        <w:t xml:space="preserve"> For more information, see: </w:t>
      </w:r>
      <w:hyperlink r:id="rId6">
        <w:r w:rsidR="524818FF" w:rsidRPr="00B103CD">
          <w:rPr>
            <w:rStyle w:val="Hyperlink"/>
            <w:rFonts w:eastAsiaTheme="minorEastAsia"/>
            <w:sz w:val="24"/>
            <w:szCs w:val="24"/>
          </w:rPr>
          <w:t>https://www.mc3.edu/choosing-montco/resources-for-students/veterans-resource-center</w:t>
        </w:r>
      </w:hyperlink>
      <w:r w:rsidR="524818FF" w:rsidRPr="00B103CD">
        <w:rPr>
          <w:rFonts w:eastAsiaTheme="minorEastAsia"/>
          <w:sz w:val="24"/>
          <w:szCs w:val="24"/>
        </w:rPr>
        <w:t xml:space="preserve">. </w:t>
      </w:r>
    </w:p>
    <w:p w14:paraId="2F4B5C65" w14:textId="77777777" w:rsidR="00D017BC" w:rsidRDefault="00D017BC" w:rsidP="00AF6357">
      <w:pPr>
        <w:contextualSpacing/>
        <w:rPr>
          <w:rFonts w:eastAsiaTheme="minorEastAsia"/>
          <w:sz w:val="28"/>
          <w:szCs w:val="28"/>
          <w:u w:val="single"/>
        </w:rPr>
      </w:pPr>
    </w:p>
    <w:p w14:paraId="24396CAA" w14:textId="2D584B3E" w:rsidR="00057D16" w:rsidRPr="00971847" w:rsidRDefault="00057D16" w:rsidP="00AF6357">
      <w:pPr>
        <w:contextualSpacing/>
        <w:rPr>
          <w:rFonts w:eastAsiaTheme="minorEastAsia"/>
          <w:b/>
          <w:bCs/>
          <w:sz w:val="28"/>
          <w:szCs w:val="28"/>
          <w:u w:val="single"/>
        </w:rPr>
      </w:pPr>
      <w:r w:rsidRPr="00971847">
        <w:rPr>
          <w:rFonts w:eastAsiaTheme="minorEastAsia"/>
          <w:b/>
          <w:bCs/>
          <w:sz w:val="28"/>
          <w:szCs w:val="28"/>
          <w:u w:val="single"/>
        </w:rPr>
        <w:t>Career Services</w:t>
      </w:r>
    </w:p>
    <w:p w14:paraId="70D9CE2C" w14:textId="123F5F58" w:rsidR="00057D16" w:rsidRPr="00057D16" w:rsidRDefault="00057D16" w:rsidP="00AF6357">
      <w:pPr>
        <w:contextualSpacing/>
        <w:rPr>
          <w:rFonts w:eastAsiaTheme="minorEastAsia"/>
          <w:sz w:val="24"/>
          <w:szCs w:val="24"/>
        </w:rPr>
      </w:pPr>
      <w:r w:rsidRPr="00057D16">
        <w:rPr>
          <w:rFonts w:eastAsiaTheme="minorEastAsia"/>
          <w:sz w:val="24"/>
          <w:szCs w:val="24"/>
        </w:rPr>
        <w:t xml:space="preserve">Including a comprehensive range of services support students and alumni planning their future careers. These include Career Coaching, access to </w:t>
      </w:r>
      <w:proofErr w:type="spellStart"/>
      <w:r w:rsidRPr="00057D16">
        <w:rPr>
          <w:rFonts w:eastAsiaTheme="minorEastAsia"/>
          <w:sz w:val="24"/>
          <w:szCs w:val="24"/>
        </w:rPr>
        <w:t>MyCareerPlan</w:t>
      </w:r>
      <w:proofErr w:type="spellEnd"/>
      <w:r w:rsidRPr="00057D16">
        <w:rPr>
          <w:rFonts w:eastAsiaTheme="minorEastAsia"/>
          <w:sz w:val="24"/>
          <w:szCs w:val="24"/>
        </w:rPr>
        <w:t xml:space="preserve"> to explore various careers, Job Search and Interview Preparation, Networking events, and Professional Development events and workshops. </w:t>
      </w:r>
    </w:p>
    <w:p w14:paraId="042FC211" w14:textId="77777777" w:rsidR="00D017BC" w:rsidRDefault="00D017BC" w:rsidP="00AF6357">
      <w:pPr>
        <w:contextualSpacing/>
        <w:jc w:val="both"/>
        <w:rPr>
          <w:rFonts w:eastAsia="Calibri" w:cstheme="minorHAnsi"/>
          <w:sz w:val="28"/>
          <w:szCs w:val="28"/>
          <w:u w:val="single"/>
        </w:rPr>
      </w:pPr>
    </w:p>
    <w:p w14:paraId="2E6FD7C5" w14:textId="5F2E85FB" w:rsidR="003F1E15" w:rsidRPr="00971847" w:rsidRDefault="003F1E15" w:rsidP="00AF6357">
      <w:pPr>
        <w:contextualSpacing/>
        <w:jc w:val="both"/>
        <w:rPr>
          <w:rFonts w:eastAsia="Calibri" w:cstheme="minorHAnsi"/>
          <w:b/>
          <w:bCs/>
          <w:sz w:val="28"/>
          <w:szCs w:val="28"/>
          <w:u w:val="single"/>
        </w:rPr>
      </w:pPr>
      <w:r w:rsidRPr="00971847">
        <w:rPr>
          <w:rFonts w:eastAsia="Calibri" w:cstheme="minorHAnsi"/>
          <w:b/>
          <w:bCs/>
          <w:sz w:val="28"/>
          <w:szCs w:val="28"/>
          <w:u w:val="single"/>
        </w:rPr>
        <w:t>Campus Clubs &amp; Organizations</w:t>
      </w:r>
    </w:p>
    <w:p w14:paraId="48F53DA7" w14:textId="0D642B86" w:rsidR="003F1E15" w:rsidRPr="000F3C2E" w:rsidRDefault="003F1E15" w:rsidP="00A62823">
      <w:pPr>
        <w:contextualSpacing/>
        <w:rPr>
          <w:rFonts w:eastAsia="Calibri" w:cstheme="minorHAnsi"/>
          <w:sz w:val="24"/>
          <w:szCs w:val="24"/>
        </w:rPr>
      </w:pPr>
      <w:r w:rsidRPr="000F3C2E">
        <w:rPr>
          <w:rFonts w:eastAsia="Calibri" w:cstheme="minorHAnsi"/>
          <w:sz w:val="24"/>
          <w:szCs w:val="24"/>
          <w:highlight w:val="yellow"/>
        </w:rPr>
        <w:t xml:space="preserve">Is there a </w:t>
      </w:r>
      <w:r w:rsidR="00B3041D" w:rsidRPr="000F3C2E">
        <w:rPr>
          <w:rFonts w:eastAsia="Calibri" w:cstheme="minorHAnsi"/>
          <w:sz w:val="24"/>
          <w:szCs w:val="24"/>
          <w:highlight w:val="yellow"/>
        </w:rPr>
        <w:t>club or organization at MontCo that aligns well with your course/program</w:t>
      </w:r>
      <w:r w:rsidR="00A91E28" w:rsidRPr="000F3C2E">
        <w:rPr>
          <w:rFonts w:eastAsia="Calibri" w:cstheme="minorHAnsi"/>
          <w:sz w:val="24"/>
          <w:szCs w:val="24"/>
          <w:highlight w:val="yellow"/>
        </w:rPr>
        <w:t xml:space="preserve">? Do you believe that your </w:t>
      </w:r>
      <w:r w:rsidR="00E26B13" w:rsidRPr="000F3C2E">
        <w:rPr>
          <w:rFonts w:eastAsia="Calibri" w:cstheme="minorHAnsi"/>
          <w:sz w:val="24"/>
          <w:szCs w:val="24"/>
          <w:highlight w:val="yellow"/>
        </w:rPr>
        <w:t>students’</w:t>
      </w:r>
      <w:r w:rsidR="00A91E28" w:rsidRPr="000F3C2E">
        <w:rPr>
          <w:rFonts w:eastAsia="Calibri" w:cstheme="minorHAnsi"/>
          <w:sz w:val="24"/>
          <w:szCs w:val="24"/>
          <w:highlight w:val="yellow"/>
        </w:rPr>
        <w:t xml:space="preserve"> educational pursuits may benefit by membership in this club or organization? If </w:t>
      </w:r>
      <w:r w:rsidR="00E26B13" w:rsidRPr="000F3C2E">
        <w:rPr>
          <w:rFonts w:eastAsia="Calibri" w:cstheme="minorHAnsi"/>
          <w:sz w:val="24"/>
          <w:szCs w:val="24"/>
          <w:highlight w:val="yellow"/>
        </w:rPr>
        <w:t>so</w:t>
      </w:r>
      <w:r w:rsidR="00A91E28" w:rsidRPr="000F3C2E">
        <w:rPr>
          <w:rFonts w:eastAsia="Calibri" w:cstheme="minorHAnsi"/>
          <w:sz w:val="24"/>
          <w:szCs w:val="24"/>
          <w:highlight w:val="yellow"/>
        </w:rPr>
        <w:t>, you can either link to the webpage (</w:t>
      </w:r>
      <w:hyperlink r:id="rId7" w:history="1">
        <w:r w:rsidR="00F3501C" w:rsidRPr="000F3C2E">
          <w:rPr>
            <w:rStyle w:val="Hyperlink"/>
            <w:rFonts w:eastAsia="Calibri" w:cstheme="minorHAnsi"/>
            <w:sz w:val="24"/>
            <w:szCs w:val="24"/>
            <w:highlight w:val="yellow"/>
          </w:rPr>
          <w:t>https://www.mc3.edu/choosing-montco/campus-life/campus-clubs</w:t>
        </w:r>
      </w:hyperlink>
      <w:r w:rsidR="00F3501C" w:rsidRPr="000F3C2E">
        <w:rPr>
          <w:rFonts w:eastAsia="Calibri" w:cstheme="minorHAnsi"/>
          <w:sz w:val="24"/>
          <w:szCs w:val="24"/>
          <w:highlight w:val="yellow"/>
        </w:rPr>
        <w:t xml:space="preserve">) or </w:t>
      </w:r>
      <w:r w:rsidR="00E26B13" w:rsidRPr="000F3C2E">
        <w:rPr>
          <w:rFonts w:eastAsia="Calibri" w:cstheme="minorHAnsi"/>
          <w:sz w:val="24"/>
          <w:szCs w:val="24"/>
          <w:highlight w:val="yellow"/>
        </w:rPr>
        <w:t xml:space="preserve">openly </w:t>
      </w:r>
      <w:r w:rsidR="00B3041D" w:rsidRPr="000F3C2E">
        <w:rPr>
          <w:rFonts w:eastAsia="Calibri" w:cstheme="minorHAnsi"/>
          <w:sz w:val="24"/>
          <w:szCs w:val="24"/>
          <w:highlight w:val="yellow"/>
        </w:rPr>
        <w:t xml:space="preserve">advocate for your students to become members </w:t>
      </w:r>
      <w:r w:rsidR="00466641" w:rsidRPr="000F3C2E">
        <w:rPr>
          <w:rFonts w:eastAsia="Calibri" w:cstheme="minorHAnsi"/>
          <w:sz w:val="24"/>
          <w:szCs w:val="24"/>
          <w:highlight w:val="yellow"/>
        </w:rPr>
        <w:t xml:space="preserve">and </w:t>
      </w:r>
      <w:r w:rsidR="004A1C4E" w:rsidRPr="000F3C2E">
        <w:rPr>
          <w:rFonts w:eastAsia="Calibri" w:cstheme="minorHAnsi"/>
          <w:sz w:val="24"/>
          <w:szCs w:val="24"/>
          <w:highlight w:val="yellow"/>
        </w:rPr>
        <w:t>provide</w:t>
      </w:r>
      <w:r w:rsidR="00A62823">
        <w:rPr>
          <w:rFonts w:eastAsia="Calibri" w:cstheme="minorHAnsi"/>
          <w:sz w:val="24"/>
          <w:szCs w:val="24"/>
          <w:highlight w:val="yellow"/>
        </w:rPr>
        <w:t xml:space="preserve"> specific</w:t>
      </w:r>
      <w:r w:rsidR="004A1C4E" w:rsidRPr="000F3C2E">
        <w:rPr>
          <w:rFonts w:eastAsia="Calibri" w:cstheme="minorHAnsi"/>
          <w:sz w:val="24"/>
          <w:szCs w:val="24"/>
          <w:highlight w:val="yellow"/>
        </w:rPr>
        <w:t xml:space="preserve"> information in your syllabus.</w:t>
      </w:r>
    </w:p>
    <w:p w14:paraId="6C696E7E" w14:textId="13B559E4" w:rsidR="00F34294" w:rsidRPr="00971847" w:rsidRDefault="00F34294" w:rsidP="00AF6357">
      <w:pPr>
        <w:contextualSpacing/>
        <w:jc w:val="both"/>
        <w:rPr>
          <w:rFonts w:eastAsia="Calibri" w:cstheme="minorHAnsi"/>
          <w:b/>
          <w:bCs/>
          <w:sz w:val="28"/>
          <w:szCs w:val="28"/>
          <w:u w:val="single"/>
        </w:rPr>
      </w:pPr>
      <w:r w:rsidRPr="00971847">
        <w:rPr>
          <w:rFonts w:eastAsia="Calibri" w:cstheme="minorHAnsi"/>
          <w:b/>
          <w:bCs/>
          <w:sz w:val="28"/>
          <w:szCs w:val="28"/>
          <w:u w:val="single"/>
        </w:rPr>
        <w:lastRenderedPageBreak/>
        <w:t>Diversity and Inclusion Resources</w:t>
      </w:r>
    </w:p>
    <w:p w14:paraId="437A8A3F" w14:textId="33285D3F" w:rsidR="00F34294" w:rsidRPr="00F34294" w:rsidRDefault="00F34294" w:rsidP="00F34294">
      <w:pPr>
        <w:jc w:val="both"/>
        <w:rPr>
          <w:rFonts w:eastAsia="Calibri" w:cstheme="minorHAnsi"/>
        </w:rPr>
      </w:pPr>
      <w:r w:rsidRPr="00AF6357">
        <w:rPr>
          <w:rFonts w:eastAsia="Calibri" w:cstheme="minorHAnsi"/>
        </w:rPr>
        <w:t>T</w:t>
      </w:r>
      <w:r w:rsidRPr="00F34294">
        <w:rPr>
          <w:rFonts w:eastAsia="Calibri" w:cstheme="minorHAnsi"/>
        </w:rPr>
        <w:t>he Office of Equity, Diversity and Belonging provides resources and programming that promote diversity and inclusion and create a more welcoming environment for all students. These include:</w:t>
      </w:r>
    </w:p>
    <w:p w14:paraId="4F166934" w14:textId="77777777" w:rsidR="00F34294" w:rsidRPr="00F34294" w:rsidRDefault="00F34294" w:rsidP="00F34294">
      <w:pPr>
        <w:numPr>
          <w:ilvl w:val="0"/>
          <w:numId w:val="6"/>
        </w:numPr>
        <w:contextualSpacing/>
        <w:jc w:val="both"/>
        <w:rPr>
          <w:rFonts w:eastAsia="Calibri" w:cstheme="minorHAnsi"/>
        </w:rPr>
      </w:pPr>
      <w:r w:rsidRPr="00A62823">
        <w:rPr>
          <w:rFonts w:eastAsia="Calibri" w:cstheme="minorHAnsi"/>
          <w:b/>
          <w:bCs/>
        </w:rPr>
        <w:t>Safe Space Training</w:t>
      </w:r>
      <w:r w:rsidRPr="00F34294">
        <w:rPr>
          <w:rFonts w:eastAsia="Calibri" w:cstheme="minorHAnsi"/>
        </w:rPr>
        <w:t>: These sessions educate participants on the LGBTQ+ community, the differences between gender and sexuality, and how to become active allies. This training is open to both students and employees.</w:t>
      </w:r>
    </w:p>
    <w:p w14:paraId="29CED352" w14:textId="77777777" w:rsidR="00F34294" w:rsidRPr="00F34294" w:rsidRDefault="00F34294" w:rsidP="00F34294">
      <w:pPr>
        <w:numPr>
          <w:ilvl w:val="0"/>
          <w:numId w:val="6"/>
        </w:numPr>
        <w:contextualSpacing/>
        <w:jc w:val="both"/>
        <w:rPr>
          <w:rFonts w:eastAsia="Calibri" w:cstheme="minorHAnsi"/>
        </w:rPr>
      </w:pPr>
      <w:r w:rsidRPr="003D27DA">
        <w:rPr>
          <w:rFonts w:eastAsia="Calibri" w:cstheme="minorHAnsi"/>
          <w:b/>
          <w:bCs/>
        </w:rPr>
        <w:t>Presidential Symposium on Diversity</w:t>
      </w:r>
      <w:r w:rsidRPr="00F34294">
        <w:rPr>
          <w:rFonts w:eastAsia="Calibri" w:cstheme="minorHAnsi"/>
        </w:rPr>
        <w:t>: An annual multiday event that gathers the Montco community for discussions, workshops, and activities focused on equity, diversity, and belonging.</w:t>
      </w:r>
    </w:p>
    <w:p w14:paraId="7E8DCC0C" w14:textId="77777777" w:rsidR="00F34294" w:rsidRPr="00F34294" w:rsidRDefault="00F34294" w:rsidP="00F34294">
      <w:pPr>
        <w:numPr>
          <w:ilvl w:val="0"/>
          <w:numId w:val="6"/>
        </w:numPr>
        <w:contextualSpacing/>
        <w:jc w:val="both"/>
        <w:rPr>
          <w:rFonts w:eastAsia="Calibri" w:cstheme="minorHAnsi"/>
        </w:rPr>
      </w:pPr>
      <w:r w:rsidRPr="00A62823">
        <w:rPr>
          <w:rFonts w:eastAsia="Calibri" w:cstheme="minorHAnsi"/>
          <w:b/>
          <w:bCs/>
        </w:rPr>
        <w:t>First Generation Programming</w:t>
      </w:r>
      <w:r w:rsidRPr="00F34294">
        <w:rPr>
          <w:rFonts w:eastAsia="Calibri" w:cstheme="minorHAnsi"/>
        </w:rPr>
        <w:t>: Resources and events specifically designed to support first-generation college students.</w:t>
      </w:r>
    </w:p>
    <w:p w14:paraId="20D9F1B5" w14:textId="77777777" w:rsidR="00F34294" w:rsidRPr="00F34294" w:rsidRDefault="00F34294" w:rsidP="00F34294">
      <w:pPr>
        <w:numPr>
          <w:ilvl w:val="0"/>
          <w:numId w:val="6"/>
        </w:numPr>
        <w:contextualSpacing/>
        <w:jc w:val="both"/>
        <w:rPr>
          <w:rFonts w:eastAsia="Calibri" w:cstheme="minorHAnsi"/>
        </w:rPr>
      </w:pPr>
      <w:r w:rsidRPr="00F34294">
        <w:rPr>
          <w:rFonts w:eastAsia="Calibri" w:cstheme="minorHAnsi"/>
        </w:rPr>
        <w:t xml:space="preserve">Tri </w:t>
      </w:r>
      <w:r w:rsidRPr="00A62823">
        <w:rPr>
          <w:rFonts w:eastAsia="Calibri" w:cstheme="minorHAnsi"/>
          <w:b/>
          <w:bCs/>
        </w:rPr>
        <w:t>Alpha Honor Society</w:t>
      </w:r>
      <w:r w:rsidRPr="00F34294">
        <w:rPr>
          <w:rFonts w:eastAsia="Calibri" w:cstheme="minorHAnsi"/>
        </w:rPr>
        <w:t>: Celebrates the achievements of first-generation college students, faculty, and staff, and hosts an annual induction ceremony.</w:t>
      </w:r>
    </w:p>
    <w:p w14:paraId="281D38E6" w14:textId="77777777" w:rsidR="00B103CD" w:rsidRDefault="00B103CD" w:rsidP="00AF6357">
      <w:pPr>
        <w:contextualSpacing/>
        <w:rPr>
          <w:rFonts w:eastAsiaTheme="minorEastAsia" w:cstheme="minorHAnsi"/>
          <w:sz w:val="28"/>
          <w:szCs w:val="28"/>
          <w:u w:val="single"/>
        </w:rPr>
      </w:pPr>
    </w:p>
    <w:p w14:paraId="6A52CC71" w14:textId="77DB69E5" w:rsidR="00AF6357" w:rsidRPr="00971847" w:rsidRDefault="00AF6357" w:rsidP="00AF6357">
      <w:pPr>
        <w:contextualSpacing/>
        <w:rPr>
          <w:rFonts w:eastAsiaTheme="minorEastAsia" w:cstheme="minorHAnsi"/>
          <w:b/>
          <w:bCs/>
          <w:sz w:val="28"/>
          <w:szCs w:val="28"/>
          <w:u w:val="single"/>
        </w:rPr>
      </w:pPr>
      <w:r w:rsidRPr="00971847">
        <w:rPr>
          <w:rFonts w:eastAsiaTheme="minorEastAsia" w:cstheme="minorHAnsi"/>
          <w:b/>
          <w:bCs/>
          <w:sz w:val="28"/>
          <w:szCs w:val="28"/>
          <w:u w:val="single"/>
        </w:rPr>
        <w:t>Sustainability Initiatives</w:t>
      </w:r>
    </w:p>
    <w:p w14:paraId="7EA862D8" w14:textId="148FC3AF" w:rsidR="00AF6357" w:rsidRPr="00AF6357" w:rsidRDefault="00AF6357" w:rsidP="00AF6357">
      <w:pPr>
        <w:rPr>
          <w:rFonts w:eastAsiaTheme="minorEastAsia" w:cstheme="minorHAnsi"/>
          <w:sz w:val="24"/>
          <w:szCs w:val="24"/>
        </w:rPr>
      </w:pPr>
      <w:r w:rsidRPr="00AF6357">
        <w:rPr>
          <w:rFonts w:eastAsiaTheme="minorEastAsia" w:cstheme="minorHAnsi"/>
          <w:sz w:val="24"/>
          <w:szCs w:val="24"/>
        </w:rPr>
        <w:t xml:space="preserve">Since 2007, sustainability has been incorporated into the College’s strategic plan, core curriculum, and in everyday best practices as they relate to facilities management, campus operations and transportation. Information about campus sustainability efforts can be found at </w:t>
      </w:r>
      <w:hyperlink r:id="rId8">
        <w:r w:rsidRPr="00AF6357">
          <w:rPr>
            <w:rStyle w:val="Hyperlink"/>
            <w:rFonts w:eastAsiaTheme="minorEastAsia" w:cstheme="minorHAnsi"/>
            <w:sz w:val="24"/>
            <w:szCs w:val="24"/>
          </w:rPr>
          <w:t>https://www.mc3.edu/about-mccc/sustainability-at-mccc</w:t>
        </w:r>
      </w:hyperlink>
      <w:r w:rsidRPr="00AF6357">
        <w:rPr>
          <w:rFonts w:eastAsiaTheme="minorEastAsia" w:cstheme="minorHAnsi"/>
          <w:sz w:val="24"/>
          <w:szCs w:val="24"/>
        </w:rPr>
        <w:t xml:space="preserve">. </w:t>
      </w:r>
    </w:p>
    <w:p w14:paraId="4826A5F0" w14:textId="77777777" w:rsidR="00AF6357" w:rsidRPr="00AF6357" w:rsidRDefault="00AF6357" w:rsidP="49619B92">
      <w:pPr>
        <w:rPr>
          <w:rFonts w:eastAsiaTheme="minorEastAsia" w:cstheme="minorHAnsi"/>
          <w:sz w:val="24"/>
          <w:szCs w:val="24"/>
        </w:rPr>
      </w:pPr>
    </w:p>
    <w:sectPr w:rsidR="00AF6357" w:rsidRPr="00AF6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3MKH1mQ9LMpRO4" int2:id="svfcYZAI">
      <int2:state int2:value="Rejected" int2:type="AugLoop_Text_Critique"/>
    </int2:textHash>
    <int2:textHash int2:hashCode="7J0V+ze3s1c540" int2:id="kAa6Cix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327B"/>
    <w:multiLevelType w:val="hybridMultilevel"/>
    <w:tmpl w:val="D10EC758"/>
    <w:lvl w:ilvl="0" w:tplc="09BCBF8A">
      <w:start w:val="1"/>
      <w:numFmt w:val="bullet"/>
      <w:lvlText w:val=""/>
      <w:lvlJc w:val="left"/>
      <w:pPr>
        <w:tabs>
          <w:tab w:val="num" w:pos="720"/>
        </w:tabs>
        <w:ind w:left="720" w:hanging="360"/>
      </w:pPr>
      <w:rPr>
        <w:rFonts w:ascii="Wingdings" w:hAnsi="Wingdings" w:hint="default"/>
      </w:rPr>
    </w:lvl>
    <w:lvl w:ilvl="1" w:tplc="93DC0362">
      <w:start w:val="1"/>
      <w:numFmt w:val="bullet"/>
      <w:lvlText w:val=""/>
      <w:lvlJc w:val="left"/>
      <w:pPr>
        <w:tabs>
          <w:tab w:val="num" w:pos="1440"/>
        </w:tabs>
        <w:ind w:left="1440" w:hanging="360"/>
      </w:pPr>
      <w:rPr>
        <w:rFonts w:ascii="Wingdings" w:hAnsi="Wingdings" w:hint="default"/>
      </w:rPr>
    </w:lvl>
    <w:lvl w:ilvl="2" w:tplc="284A1600" w:tentative="1">
      <w:start w:val="1"/>
      <w:numFmt w:val="bullet"/>
      <w:lvlText w:val=""/>
      <w:lvlJc w:val="left"/>
      <w:pPr>
        <w:tabs>
          <w:tab w:val="num" w:pos="2160"/>
        </w:tabs>
        <w:ind w:left="2160" w:hanging="360"/>
      </w:pPr>
      <w:rPr>
        <w:rFonts w:ascii="Wingdings" w:hAnsi="Wingdings" w:hint="default"/>
      </w:rPr>
    </w:lvl>
    <w:lvl w:ilvl="3" w:tplc="6002CAEC" w:tentative="1">
      <w:start w:val="1"/>
      <w:numFmt w:val="bullet"/>
      <w:lvlText w:val=""/>
      <w:lvlJc w:val="left"/>
      <w:pPr>
        <w:tabs>
          <w:tab w:val="num" w:pos="2880"/>
        </w:tabs>
        <w:ind w:left="2880" w:hanging="360"/>
      </w:pPr>
      <w:rPr>
        <w:rFonts w:ascii="Wingdings" w:hAnsi="Wingdings" w:hint="default"/>
      </w:rPr>
    </w:lvl>
    <w:lvl w:ilvl="4" w:tplc="59C2C05C" w:tentative="1">
      <w:start w:val="1"/>
      <w:numFmt w:val="bullet"/>
      <w:lvlText w:val=""/>
      <w:lvlJc w:val="left"/>
      <w:pPr>
        <w:tabs>
          <w:tab w:val="num" w:pos="3600"/>
        </w:tabs>
        <w:ind w:left="3600" w:hanging="360"/>
      </w:pPr>
      <w:rPr>
        <w:rFonts w:ascii="Wingdings" w:hAnsi="Wingdings" w:hint="default"/>
      </w:rPr>
    </w:lvl>
    <w:lvl w:ilvl="5" w:tplc="1D86EFF0" w:tentative="1">
      <w:start w:val="1"/>
      <w:numFmt w:val="bullet"/>
      <w:lvlText w:val=""/>
      <w:lvlJc w:val="left"/>
      <w:pPr>
        <w:tabs>
          <w:tab w:val="num" w:pos="4320"/>
        </w:tabs>
        <w:ind w:left="4320" w:hanging="360"/>
      </w:pPr>
      <w:rPr>
        <w:rFonts w:ascii="Wingdings" w:hAnsi="Wingdings" w:hint="default"/>
      </w:rPr>
    </w:lvl>
    <w:lvl w:ilvl="6" w:tplc="6DE4661C" w:tentative="1">
      <w:start w:val="1"/>
      <w:numFmt w:val="bullet"/>
      <w:lvlText w:val=""/>
      <w:lvlJc w:val="left"/>
      <w:pPr>
        <w:tabs>
          <w:tab w:val="num" w:pos="5040"/>
        </w:tabs>
        <w:ind w:left="5040" w:hanging="360"/>
      </w:pPr>
      <w:rPr>
        <w:rFonts w:ascii="Wingdings" w:hAnsi="Wingdings" w:hint="default"/>
      </w:rPr>
    </w:lvl>
    <w:lvl w:ilvl="7" w:tplc="A1B07528" w:tentative="1">
      <w:start w:val="1"/>
      <w:numFmt w:val="bullet"/>
      <w:lvlText w:val=""/>
      <w:lvlJc w:val="left"/>
      <w:pPr>
        <w:tabs>
          <w:tab w:val="num" w:pos="5760"/>
        </w:tabs>
        <w:ind w:left="5760" w:hanging="360"/>
      </w:pPr>
      <w:rPr>
        <w:rFonts w:ascii="Wingdings" w:hAnsi="Wingdings" w:hint="default"/>
      </w:rPr>
    </w:lvl>
    <w:lvl w:ilvl="8" w:tplc="0FBE737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E1FB3"/>
    <w:multiLevelType w:val="multilevel"/>
    <w:tmpl w:val="B27C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7D19DF"/>
    <w:multiLevelType w:val="multilevel"/>
    <w:tmpl w:val="CD7EF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5D6118"/>
    <w:multiLevelType w:val="hybridMultilevel"/>
    <w:tmpl w:val="3E8E5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83218"/>
    <w:multiLevelType w:val="hybridMultilevel"/>
    <w:tmpl w:val="E7E6F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5545FAB"/>
    <w:multiLevelType w:val="hybridMultilevel"/>
    <w:tmpl w:val="867262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8717220">
    <w:abstractNumId w:val="3"/>
  </w:num>
  <w:num w:numId="2" w16cid:durableId="281695902">
    <w:abstractNumId w:val="5"/>
  </w:num>
  <w:num w:numId="3" w16cid:durableId="723213014">
    <w:abstractNumId w:val="0"/>
  </w:num>
  <w:num w:numId="4" w16cid:durableId="2140606290">
    <w:abstractNumId w:val="1"/>
  </w:num>
  <w:num w:numId="5" w16cid:durableId="939143625">
    <w:abstractNumId w:val="2"/>
  </w:num>
  <w:num w:numId="6" w16cid:durableId="292756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42"/>
    <w:rsid w:val="00057D16"/>
    <w:rsid w:val="00060267"/>
    <w:rsid w:val="00091912"/>
    <w:rsid w:val="000B134C"/>
    <w:rsid w:val="000B14AB"/>
    <w:rsid w:val="000D424A"/>
    <w:rsid w:val="000F2318"/>
    <w:rsid w:val="000F3C2E"/>
    <w:rsid w:val="000F3C9A"/>
    <w:rsid w:val="00165087"/>
    <w:rsid w:val="001973A3"/>
    <w:rsid w:val="001E2F97"/>
    <w:rsid w:val="0020283E"/>
    <w:rsid w:val="00217A9C"/>
    <w:rsid w:val="002659FF"/>
    <w:rsid w:val="002A094D"/>
    <w:rsid w:val="002A3949"/>
    <w:rsid w:val="002C18E3"/>
    <w:rsid w:val="002E236A"/>
    <w:rsid w:val="00322920"/>
    <w:rsid w:val="00346B4C"/>
    <w:rsid w:val="003C6DAB"/>
    <w:rsid w:val="003D27DA"/>
    <w:rsid w:val="003F1E15"/>
    <w:rsid w:val="00411DC6"/>
    <w:rsid w:val="00416019"/>
    <w:rsid w:val="00466641"/>
    <w:rsid w:val="0047085A"/>
    <w:rsid w:val="004A1C4E"/>
    <w:rsid w:val="004A4A41"/>
    <w:rsid w:val="004C064D"/>
    <w:rsid w:val="004D0EF6"/>
    <w:rsid w:val="004D41B3"/>
    <w:rsid w:val="004E0790"/>
    <w:rsid w:val="00507C42"/>
    <w:rsid w:val="00517128"/>
    <w:rsid w:val="00560E43"/>
    <w:rsid w:val="005627B9"/>
    <w:rsid w:val="005703BD"/>
    <w:rsid w:val="005735FF"/>
    <w:rsid w:val="005A3F87"/>
    <w:rsid w:val="005C374D"/>
    <w:rsid w:val="005E226D"/>
    <w:rsid w:val="00606C28"/>
    <w:rsid w:val="00665B12"/>
    <w:rsid w:val="00676D3E"/>
    <w:rsid w:val="00676E33"/>
    <w:rsid w:val="00681759"/>
    <w:rsid w:val="006C0CC7"/>
    <w:rsid w:val="006D3CC3"/>
    <w:rsid w:val="007060F6"/>
    <w:rsid w:val="00716E19"/>
    <w:rsid w:val="007174B3"/>
    <w:rsid w:val="007542D3"/>
    <w:rsid w:val="007960AA"/>
    <w:rsid w:val="008133DE"/>
    <w:rsid w:val="0082380D"/>
    <w:rsid w:val="00833D7E"/>
    <w:rsid w:val="00840D85"/>
    <w:rsid w:val="008427A4"/>
    <w:rsid w:val="008556B0"/>
    <w:rsid w:val="00861773"/>
    <w:rsid w:val="0086214B"/>
    <w:rsid w:val="00871DAC"/>
    <w:rsid w:val="008775F1"/>
    <w:rsid w:val="008776D1"/>
    <w:rsid w:val="008820FE"/>
    <w:rsid w:val="008C16BE"/>
    <w:rsid w:val="008F5C5C"/>
    <w:rsid w:val="00953001"/>
    <w:rsid w:val="00971847"/>
    <w:rsid w:val="009C48C9"/>
    <w:rsid w:val="009C61ED"/>
    <w:rsid w:val="009C67B6"/>
    <w:rsid w:val="00A062CE"/>
    <w:rsid w:val="00A137C4"/>
    <w:rsid w:val="00A50FE3"/>
    <w:rsid w:val="00A62823"/>
    <w:rsid w:val="00A91E28"/>
    <w:rsid w:val="00AF3608"/>
    <w:rsid w:val="00AF6357"/>
    <w:rsid w:val="00B103CD"/>
    <w:rsid w:val="00B3041D"/>
    <w:rsid w:val="00B63C59"/>
    <w:rsid w:val="00B92349"/>
    <w:rsid w:val="00BA6641"/>
    <w:rsid w:val="00BB0906"/>
    <w:rsid w:val="00C0334A"/>
    <w:rsid w:val="00C10CDB"/>
    <w:rsid w:val="00C24571"/>
    <w:rsid w:val="00C36C34"/>
    <w:rsid w:val="00C462CC"/>
    <w:rsid w:val="00C53BB8"/>
    <w:rsid w:val="00C640FA"/>
    <w:rsid w:val="00C7747A"/>
    <w:rsid w:val="00C77E38"/>
    <w:rsid w:val="00CC3EB3"/>
    <w:rsid w:val="00CE2F4D"/>
    <w:rsid w:val="00D017BC"/>
    <w:rsid w:val="00D248E5"/>
    <w:rsid w:val="00E0E307"/>
    <w:rsid w:val="00E26B13"/>
    <w:rsid w:val="00E457FD"/>
    <w:rsid w:val="00E531C7"/>
    <w:rsid w:val="00E91CD5"/>
    <w:rsid w:val="00E92E7F"/>
    <w:rsid w:val="00ED1246"/>
    <w:rsid w:val="00EF20F3"/>
    <w:rsid w:val="00F31D0C"/>
    <w:rsid w:val="00F33FF8"/>
    <w:rsid w:val="00F34294"/>
    <w:rsid w:val="00F3501C"/>
    <w:rsid w:val="00F67229"/>
    <w:rsid w:val="00F81375"/>
    <w:rsid w:val="00FB3BB5"/>
    <w:rsid w:val="05EB5D53"/>
    <w:rsid w:val="0894ECEA"/>
    <w:rsid w:val="0A14FBBD"/>
    <w:rsid w:val="0F79173C"/>
    <w:rsid w:val="1FEC2E74"/>
    <w:rsid w:val="232C8D90"/>
    <w:rsid w:val="253D46BF"/>
    <w:rsid w:val="304E411F"/>
    <w:rsid w:val="37383371"/>
    <w:rsid w:val="3AD4DE62"/>
    <w:rsid w:val="3E74292A"/>
    <w:rsid w:val="458DB249"/>
    <w:rsid w:val="46F423DD"/>
    <w:rsid w:val="49619B92"/>
    <w:rsid w:val="4BD3B06B"/>
    <w:rsid w:val="4D6F80CC"/>
    <w:rsid w:val="524818FF"/>
    <w:rsid w:val="5C986D68"/>
    <w:rsid w:val="5FFC0F8D"/>
    <w:rsid w:val="6197DFEE"/>
    <w:rsid w:val="66D7B01A"/>
    <w:rsid w:val="68CEE302"/>
    <w:rsid w:val="6C0683C4"/>
    <w:rsid w:val="6ED28A04"/>
    <w:rsid w:val="782532C2"/>
    <w:rsid w:val="78D65BAB"/>
    <w:rsid w:val="7C4D1F3E"/>
    <w:rsid w:val="7FD9E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B6E6"/>
  <w15:chartTrackingRefBased/>
  <w15:docId w15:val="{A1F8C811-BE3F-464B-91A1-381E86F7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C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08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C4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07C42"/>
    <w:pPr>
      <w:ind w:left="720"/>
      <w:contextualSpacing/>
    </w:pPr>
  </w:style>
  <w:style w:type="character" w:customStyle="1" w:styleId="Heading2Char">
    <w:name w:val="Heading 2 Char"/>
    <w:basedOn w:val="DefaultParagraphFont"/>
    <w:link w:val="Heading2"/>
    <w:uiPriority w:val="9"/>
    <w:rsid w:val="0047085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17128"/>
    <w:rPr>
      <w:color w:val="0563C1" w:themeColor="hyperlink"/>
      <w:u w:val="single"/>
    </w:rPr>
  </w:style>
  <w:style w:type="character" w:styleId="UnresolvedMention">
    <w:name w:val="Unresolved Mention"/>
    <w:basedOn w:val="DefaultParagraphFont"/>
    <w:uiPriority w:val="99"/>
    <w:semiHidden/>
    <w:unhideWhenUsed/>
    <w:rsid w:val="004E0790"/>
    <w:rPr>
      <w:color w:val="605E5C"/>
      <w:shd w:val="clear" w:color="auto" w:fill="E1DFDD"/>
    </w:rPr>
  </w:style>
  <w:style w:type="character" w:styleId="FollowedHyperlink">
    <w:name w:val="FollowedHyperlink"/>
    <w:basedOn w:val="DefaultParagraphFont"/>
    <w:uiPriority w:val="99"/>
    <w:semiHidden/>
    <w:unhideWhenUsed/>
    <w:rsid w:val="00411D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05141">
      <w:bodyDiv w:val="1"/>
      <w:marLeft w:val="0"/>
      <w:marRight w:val="0"/>
      <w:marTop w:val="0"/>
      <w:marBottom w:val="0"/>
      <w:divBdr>
        <w:top w:val="none" w:sz="0" w:space="0" w:color="auto"/>
        <w:left w:val="none" w:sz="0" w:space="0" w:color="auto"/>
        <w:bottom w:val="none" w:sz="0" w:space="0" w:color="auto"/>
        <w:right w:val="none" w:sz="0" w:space="0" w:color="auto"/>
      </w:divBdr>
    </w:div>
    <w:div w:id="387921989">
      <w:bodyDiv w:val="1"/>
      <w:marLeft w:val="0"/>
      <w:marRight w:val="0"/>
      <w:marTop w:val="0"/>
      <w:marBottom w:val="0"/>
      <w:divBdr>
        <w:top w:val="none" w:sz="0" w:space="0" w:color="auto"/>
        <w:left w:val="none" w:sz="0" w:space="0" w:color="auto"/>
        <w:bottom w:val="none" w:sz="0" w:space="0" w:color="auto"/>
        <w:right w:val="none" w:sz="0" w:space="0" w:color="auto"/>
      </w:divBdr>
    </w:div>
    <w:div w:id="482240079">
      <w:bodyDiv w:val="1"/>
      <w:marLeft w:val="0"/>
      <w:marRight w:val="0"/>
      <w:marTop w:val="0"/>
      <w:marBottom w:val="0"/>
      <w:divBdr>
        <w:top w:val="none" w:sz="0" w:space="0" w:color="auto"/>
        <w:left w:val="none" w:sz="0" w:space="0" w:color="auto"/>
        <w:bottom w:val="none" w:sz="0" w:space="0" w:color="auto"/>
        <w:right w:val="none" w:sz="0" w:space="0" w:color="auto"/>
      </w:divBdr>
    </w:div>
    <w:div w:id="107624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3.edu/about-mccc/sustainability-at-mccc" TargetMode="External"/><Relationship Id="rId3" Type="http://schemas.openxmlformats.org/officeDocument/2006/relationships/settings" Target="settings.xml"/><Relationship Id="rId7" Type="http://schemas.openxmlformats.org/officeDocument/2006/relationships/hyperlink" Target="https://www.mc3.edu/choosing-montco/campus-life/campus-clu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c3.edu/choosing-montco/resources-for-students/veterans-resource-center" TargetMode="External"/><Relationship Id="rId11" Type="http://schemas.microsoft.com/office/2020/10/relationships/intelligence" Target="intelligence2.xml"/><Relationship Id="rId5" Type="http://schemas.openxmlformats.org/officeDocument/2006/relationships/hyperlink" Target="https://www.mc3.edu/about-mccc/presidents-office/strategic-pla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Course Syllabus Template</dc:title>
  <dc:subject/>
  <dc:creator>Tracy Kaiser-Goebel</dc:creator>
  <cp:keywords/>
  <dc:description/>
  <cp:lastModifiedBy>John Attaquin</cp:lastModifiedBy>
  <cp:revision>30</cp:revision>
  <dcterms:created xsi:type="dcterms:W3CDTF">2025-04-21T19:00:00Z</dcterms:created>
  <dcterms:modified xsi:type="dcterms:W3CDTF">2025-08-11T14:21:00Z</dcterms:modified>
</cp:coreProperties>
</file>